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3" w:rsidRPr="00E713E7" w:rsidRDefault="00C27D3C" w:rsidP="00A70C73">
      <w:pPr>
        <w:pStyle w:val="a3"/>
        <w:jc w:val="left"/>
        <w:rPr>
          <w:sz w:val="28"/>
          <w:szCs w:val="28"/>
          <w:u w:val="none"/>
          <w:lang w:val="en-US"/>
        </w:rPr>
      </w:pPr>
      <w:r>
        <w:rPr>
          <w:sz w:val="28"/>
          <w:szCs w:val="28"/>
          <w:u w:val="none"/>
        </w:rPr>
        <w:t>Изх. № 19</w:t>
      </w:r>
      <w:r w:rsidR="00A70C73" w:rsidRPr="0085564B">
        <w:rPr>
          <w:sz w:val="28"/>
          <w:szCs w:val="28"/>
          <w:u w:val="none"/>
        </w:rPr>
        <w:t>/</w:t>
      </w:r>
      <w:r w:rsidR="00A70C73">
        <w:rPr>
          <w:sz w:val="28"/>
          <w:szCs w:val="28"/>
          <w:u w:val="none"/>
          <w:lang w:val="ru-RU"/>
        </w:rPr>
        <w:t>16</w:t>
      </w:r>
      <w:r w:rsidR="00A70C73">
        <w:rPr>
          <w:sz w:val="28"/>
          <w:szCs w:val="28"/>
          <w:u w:val="none"/>
        </w:rPr>
        <w:t>.02.2024 г</w:t>
      </w:r>
      <w:r w:rsidR="00A70C73">
        <w:rPr>
          <w:sz w:val="28"/>
          <w:szCs w:val="28"/>
          <w:u w:val="none"/>
          <w:lang w:val="en-US"/>
        </w:rPr>
        <w:t>.</w:t>
      </w:r>
    </w:p>
    <w:p w:rsidR="00A70C73" w:rsidRPr="0085564B" w:rsidRDefault="00A70C73" w:rsidP="00A70C73">
      <w:pPr>
        <w:pStyle w:val="a3"/>
        <w:rPr>
          <w:sz w:val="28"/>
          <w:szCs w:val="28"/>
          <w:u w:val="none"/>
        </w:rPr>
      </w:pPr>
    </w:p>
    <w:p w:rsidR="00A70C73" w:rsidRPr="0085564B" w:rsidRDefault="00A70C73" w:rsidP="00A70C73">
      <w:pPr>
        <w:pStyle w:val="a3"/>
        <w:rPr>
          <w:sz w:val="28"/>
          <w:szCs w:val="28"/>
          <w:u w:val="none"/>
          <w:lang w:val="ru-RU"/>
        </w:rPr>
      </w:pPr>
      <w:r w:rsidRPr="0085564B">
        <w:rPr>
          <w:sz w:val="28"/>
          <w:szCs w:val="28"/>
          <w:u w:val="none"/>
        </w:rPr>
        <w:t>НАРОДНО ЧИТАЛИЩЕ “ИСКРА-</w:t>
      </w:r>
      <w:smartTag w:uri="urn:schemas-microsoft-com:office:smarttags" w:element="metricconverter">
        <w:smartTagPr>
          <w:attr w:name="ProductID" w:val="1896”"/>
        </w:smartTagPr>
        <w:r w:rsidRPr="0085564B">
          <w:rPr>
            <w:sz w:val="28"/>
            <w:szCs w:val="28"/>
            <w:u w:val="none"/>
            <w:lang w:val="ru-RU"/>
          </w:rPr>
          <w:t>1896</w:t>
        </w:r>
        <w:r w:rsidRPr="0085564B">
          <w:rPr>
            <w:sz w:val="28"/>
            <w:szCs w:val="28"/>
            <w:u w:val="none"/>
          </w:rPr>
          <w:t>”</w:t>
        </w:r>
      </w:smartTag>
      <w:r w:rsidRPr="0085564B">
        <w:rPr>
          <w:sz w:val="28"/>
          <w:szCs w:val="28"/>
          <w:u w:val="none"/>
        </w:rPr>
        <w:t xml:space="preserve"> </w:t>
      </w:r>
    </w:p>
    <w:p w:rsidR="00A70C73" w:rsidRPr="0085564B" w:rsidRDefault="00A70C73" w:rsidP="00A70C73">
      <w:pPr>
        <w:pStyle w:val="a3"/>
        <w:rPr>
          <w:sz w:val="28"/>
          <w:szCs w:val="28"/>
          <w:u w:val="none"/>
        </w:rPr>
      </w:pPr>
      <w:r w:rsidRPr="0085564B">
        <w:rPr>
          <w:sz w:val="28"/>
          <w:szCs w:val="28"/>
          <w:u w:val="none"/>
        </w:rPr>
        <w:t>гр. ВЕЛИКО ТЪРНОВО, ул. „Бачо Киро” № 2</w:t>
      </w:r>
    </w:p>
    <w:p w:rsidR="00A70C73" w:rsidRPr="0085564B" w:rsidRDefault="00A70C73" w:rsidP="00A70C73">
      <w:pPr>
        <w:pStyle w:val="a3"/>
        <w:rPr>
          <w:sz w:val="28"/>
          <w:szCs w:val="28"/>
          <w:u w:val="none"/>
          <w:lang w:val="en-GB"/>
        </w:rPr>
      </w:pPr>
      <w:proofErr w:type="gramStart"/>
      <w:r w:rsidRPr="0085564B">
        <w:rPr>
          <w:sz w:val="28"/>
          <w:szCs w:val="28"/>
          <w:u w:val="none"/>
          <w:lang w:val="en-US"/>
        </w:rPr>
        <w:t>e</w:t>
      </w:r>
      <w:r w:rsidRPr="0085564B">
        <w:rPr>
          <w:sz w:val="28"/>
          <w:szCs w:val="28"/>
          <w:u w:val="none"/>
          <w:lang w:val="en-GB"/>
        </w:rPr>
        <w:t>-</w:t>
      </w:r>
      <w:r w:rsidRPr="0085564B">
        <w:rPr>
          <w:sz w:val="28"/>
          <w:szCs w:val="28"/>
          <w:u w:val="none"/>
          <w:lang w:val="en-US"/>
        </w:rPr>
        <w:t>mail</w:t>
      </w:r>
      <w:proofErr w:type="gramEnd"/>
      <w:r w:rsidRPr="0085564B">
        <w:rPr>
          <w:sz w:val="28"/>
          <w:szCs w:val="28"/>
          <w:u w:val="none"/>
        </w:rPr>
        <w:t>:</w:t>
      </w:r>
      <w:r w:rsidRPr="0085564B">
        <w:rPr>
          <w:sz w:val="28"/>
          <w:szCs w:val="28"/>
          <w:u w:val="none"/>
          <w:lang w:val="en-GB"/>
        </w:rPr>
        <w:t xml:space="preserve"> </w:t>
      </w:r>
      <w:proofErr w:type="spellStart"/>
      <w:r w:rsidRPr="0085564B">
        <w:rPr>
          <w:sz w:val="28"/>
          <w:szCs w:val="28"/>
          <w:u w:val="none"/>
          <w:lang w:val="en-US"/>
        </w:rPr>
        <w:t>iskra</w:t>
      </w:r>
      <w:proofErr w:type="spellEnd"/>
      <w:r w:rsidRPr="0085564B">
        <w:rPr>
          <w:sz w:val="28"/>
          <w:szCs w:val="28"/>
          <w:u w:val="none"/>
          <w:lang w:val="en-GB"/>
        </w:rPr>
        <w:t>_</w:t>
      </w:r>
      <w:proofErr w:type="spellStart"/>
      <w:r w:rsidRPr="0085564B">
        <w:rPr>
          <w:sz w:val="28"/>
          <w:szCs w:val="28"/>
          <w:u w:val="none"/>
          <w:lang w:val="en-US"/>
        </w:rPr>
        <w:t>vt</w:t>
      </w:r>
      <w:proofErr w:type="spellEnd"/>
      <w:r w:rsidRPr="0085564B">
        <w:rPr>
          <w:sz w:val="28"/>
          <w:szCs w:val="28"/>
          <w:u w:val="none"/>
          <w:lang w:val="en-GB"/>
        </w:rPr>
        <w:t>@</w:t>
      </w:r>
      <w:proofErr w:type="spellStart"/>
      <w:r w:rsidRPr="0085564B">
        <w:rPr>
          <w:sz w:val="28"/>
          <w:szCs w:val="28"/>
          <w:u w:val="none"/>
          <w:lang w:val="en-US"/>
        </w:rPr>
        <w:t>abv</w:t>
      </w:r>
      <w:proofErr w:type="spellEnd"/>
      <w:r w:rsidRPr="0085564B">
        <w:rPr>
          <w:sz w:val="28"/>
          <w:szCs w:val="28"/>
          <w:u w:val="none"/>
          <w:lang w:val="en-GB"/>
        </w:rPr>
        <w:t>.</w:t>
      </w:r>
      <w:proofErr w:type="spellStart"/>
      <w:r w:rsidRPr="0085564B">
        <w:rPr>
          <w:sz w:val="28"/>
          <w:szCs w:val="28"/>
          <w:u w:val="none"/>
          <w:lang w:val="en-US"/>
        </w:rPr>
        <w:t>bg</w:t>
      </w:r>
      <w:proofErr w:type="spellEnd"/>
    </w:p>
    <w:p w:rsidR="00A70C73" w:rsidRPr="0085564B" w:rsidRDefault="00A70C73" w:rsidP="00A70C73">
      <w:pPr>
        <w:jc w:val="both"/>
        <w:rPr>
          <w:b/>
          <w:bCs/>
          <w:sz w:val="28"/>
          <w:szCs w:val="28"/>
          <w:lang w:val="bg-BG"/>
        </w:rPr>
      </w:pPr>
    </w:p>
    <w:p w:rsidR="00A70C73" w:rsidRPr="0085564B" w:rsidRDefault="00A70C73" w:rsidP="00A70C73">
      <w:pPr>
        <w:jc w:val="center"/>
        <w:rPr>
          <w:b/>
          <w:bCs/>
          <w:sz w:val="28"/>
          <w:szCs w:val="28"/>
          <w:lang w:val="bg-BG"/>
        </w:rPr>
      </w:pPr>
      <w:r w:rsidRPr="0085564B">
        <w:rPr>
          <w:b/>
          <w:bCs/>
          <w:sz w:val="28"/>
          <w:szCs w:val="28"/>
          <w:lang w:val="bg-BG"/>
        </w:rPr>
        <w:t>ОТЧЕТ ЗА ДЕЙНОСТТА НА ЧИТАЛИЩЕ „ИСКРА-</w:t>
      </w:r>
      <w:smartTag w:uri="urn:schemas-microsoft-com:office:smarttags" w:element="metricconverter">
        <w:smartTagPr>
          <w:attr w:name="ProductID" w:val="1896”"/>
        </w:smartTagPr>
        <w:r w:rsidRPr="0085564B">
          <w:rPr>
            <w:b/>
            <w:bCs/>
            <w:sz w:val="28"/>
            <w:szCs w:val="28"/>
            <w:lang w:val="bg-BG"/>
          </w:rPr>
          <w:t>1896”</w:t>
        </w:r>
      </w:smartTag>
      <w:r w:rsidRPr="0085564B">
        <w:rPr>
          <w:b/>
          <w:bCs/>
          <w:sz w:val="28"/>
          <w:szCs w:val="28"/>
          <w:lang w:val="bg-BG"/>
        </w:rPr>
        <w:t xml:space="preserve"> – </w:t>
      </w:r>
    </w:p>
    <w:p w:rsidR="00A70C73" w:rsidRPr="0085564B" w:rsidRDefault="00A70C73" w:rsidP="00A70C73">
      <w:pPr>
        <w:jc w:val="center"/>
        <w:rPr>
          <w:b/>
          <w:bCs/>
          <w:sz w:val="28"/>
          <w:szCs w:val="28"/>
          <w:lang w:val="bg-BG"/>
        </w:rPr>
      </w:pPr>
      <w:r w:rsidRPr="0085564B">
        <w:rPr>
          <w:b/>
          <w:bCs/>
          <w:sz w:val="28"/>
          <w:szCs w:val="28"/>
          <w:lang w:val="bg-BG"/>
        </w:rPr>
        <w:t>ВЕЛИКО ТЪРНОВО ПРЕЗ 20</w:t>
      </w:r>
      <w:r>
        <w:rPr>
          <w:b/>
          <w:bCs/>
          <w:sz w:val="28"/>
          <w:szCs w:val="28"/>
          <w:lang w:val="ru-RU"/>
        </w:rPr>
        <w:t>23</w:t>
      </w:r>
      <w:r w:rsidRPr="0085564B">
        <w:rPr>
          <w:b/>
          <w:bCs/>
          <w:sz w:val="28"/>
          <w:szCs w:val="28"/>
          <w:lang w:val="bg-BG"/>
        </w:rPr>
        <w:t xml:space="preserve"> Г.</w:t>
      </w:r>
    </w:p>
    <w:p w:rsidR="00A70C73" w:rsidRPr="0085564B" w:rsidRDefault="00A70C73" w:rsidP="00A70C73">
      <w:pPr>
        <w:jc w:val="both"/>
        <w:rPr>
          <w:b/>
          <w:bCs/>
          <w:sz w:val="28"/>
          <w:szCs w:val="28"/>
          <w:lang w:val="bg-BG"/>
        </w:rPr>
      </w:pP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 публичното пространство народното читалище се възприема като пример за устойчива културна институция със специфична мисия за съхраняване и развиване на традиционните ценности на нацията.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Читалището все по-активно отговаря на новите предизвикателства и се стреми да предлага нова визия за развитие на читалищното дело, както и да се адаптира и стимулира създаването и потреблението на културни продукти и събития с висока художествена стойност.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</w:r>
    </w:p>
    <w:p w:rsidR="00A70C73" w:rsidRPr="0085564B" w:rsidRDefault="00A70C73" w:rsidP="00A70C73">
      <w:pPr>
        <w:jc w:val="both"/>
        <w:rPr>
          <w:b/>
          <w:sz w:val="28"/>
          <w:szCs w:val="28"/>
          <w:lang w:val="bg-BG"/>
        </w:rPr>
      </w:pPr>
      <w:r w:rsidRPr="0085564B">
        <w:rPr>
          <w:b/>
          <w:sz w:val="28"/>
          <w:szCs w:val="28"/>
          <w:lang w:val="bg-BG"/>
        </w:rPr>
        <w:t xml:space="preserve">І. ХУДОЖЕСТВЕНО-ТВОРЧЕСКА И КУЛТУРНА ДЕЙНОСТ 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През 2023</w:t>
      </w:r>
      <w:r w:rsidRPr="0085564B">
        <w:rPr>
          <w:sz w:val="28"/>
          <w:szCs w:val="28"/>
          <w:lang w:val="bg-BG"/>
        </w:rPr>
        <w:t xml:space="preserve"> г. усилията на Настоятелството</w:t>
      </w:r>
      <w:r>
        <w:rPr>
          <w:sz w:val="28"/>
          <w:szCs w:val="28"/>
          <w:lang w:val="bg-BG"/>
        </w:rPr>
        <w:t xml:space="preserve"> на читалище „Искра”</w:t>
      </w:r>
      <w:r w:rsidRPr="0085564B">
        <w:rPr>
          <w:sz w:val="28"/>
          <w:szCs w:val="28"/>
          <w:lang w:val="bg-BG"/>
        </w:rPr>
        <w:t xml:space="preserve">, художествените ръководители на съставите </w:t>
      </w:r>
      <w:r>
        <w:rPr>
          <w:sz w:val="28"/>
          <w:szCs w:val="28"/>
          <w:lang w:val="bg-BG"/>
        </w:rPr>
        <w:t xml:space="preserve">и школите </w:t>
      </w:r>
      <w:r w:rsidRPr="0085564B">
        <w:rPr>
          <w:sz w:val="28"/>
          <w:szCs w:val="28"/>
          <w:lang w:val="bg-BG"/>
        </w:rPr>
        <w:t xml:space="preserve">бяха насочени към реализиране на </w:t>
      </w:r>
      <w:r>
        <w:rPr>
          <w:sz w:val="28"/>
          <w:szCs w:val="28"/>
          <w:lang w:val="bg-BG"/>
        </w:rPr>
        <w:t>културни прояви, с които се стимулира и насърчава обучението и образованието през целия живот, да създава и развива публика и да формира художествен вкус, познание и потребност у гражданите за общуване с изкуството и културата.</w:t>
      </w:r>
      <w:r>
        <w:rPr>
          <w:sz w:val="28"/>
          <w:szCs w:val="28"/>
          <w:lang w:val="bg-BG"/>
        </w:rPr>
        <w:tab/>
        <w:t xml:space="preserve">Трайна е тенденцията към обогатяване на културната ни политика чрез разширяване на обхвата на деца и младежи в дейностите ни, повече читатели в двата отдела на библиотеката, </w:t>
      </w:r>
      <w:r w:rsidRPr="0085564B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по-мащабна и разнообразна концертна дейност, създаване на все по-качествен културен продукт за гражданите на Велико Търново, Общината и страната.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Културните прояви бяха съсредоточени върху традиционни празници на зимния календар, пролетни концерти и изяви, бележити дати и годишнини, майски дни на културата, партньорски инициативи с културни институции като МДТ „К. </w:t>
      </w:r>
      <w:proofErr w:type="spellStart"/>
      <w:r>
        <w:rPr>
          <w:sz w:val="28"/>
          <w:szCs w:val="28"/>
          <w:lang w:val="bg-BG"/>
        </w:rPr>
        <w:t>Кисимов</w:t>
      </w:r>
      <w:proofErr w:type="spellEnd"/>
      <w:r>
        <w:rPr>
          <w:sz w:val="28"/>
          <w:szCs w:val="28"/>
          <w:lang w:val="bg-BG"/>
        </w:rPr>
        <w:t xml:space="preserve">”, Младежки дом, Сдружение „Еленски край”, ОУ „Св. П. Евтимий”, ОУ „Д. Благоев”, ОУ „П. Р. Славейков”, ЕСПУ „Ем. Станев”, ЕГ „Проф. Ас. </w:t>
      </w:r>
      <w:proofErr w:type="spellStart"/>
      <w:r>
        <w:rPr>
          <w:sz w:val="28"/>
          <w:szCs w:val="28"/>
          <w:lang w:val="bg-BG"/>
        </w:rPr>
        <w:t>Златаров</w:t>
      </w:r>
      <w:proofErr w:type="spellEnd"/>
      <w:r>
        <w:rPr>
          <w:sz w:val="28"/>
          <w:szCs w:val="28"/>
          <w:lang w:val="bg-BG"/>
        </w:rPr>
        <w:t>”, ДГ „Слънце”, ДГ „Ивайло”, ДГ „Пролет”, НПО, Сдружение „</w:t>
      </w:r>
      <w:proofErr w:type="spellStart"/>
      <w:r>
        <w:rPr>
          <w:sz w:val="28"/>
          <w:szCs w:val="28"/>
          <w:lang w:val="bg-BG"/>
        </w:rPr>
        <w:t>Амалипе</w:t>
      </w:r>
      <w:proofErr w:type="spellEnd"/>
      <w:r>
        <w:rPr>
          <w:sz w:val="28"/>
          <w:szCs w:val="28"/>
          <w:lang w:val="bg-BG"/>
        </w:rPr>
        <w:t>” и др.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Предоставяне на Камерния салон на читалището за концертни изяви на художествените колективи от други институции и читалища от селата на Общината и Областта продължава вече над 20 години. Успешно се реализира проект „Куклена сцена” съвместно с Куклен театър „Весел” с ежеседмично представяне на куклени спектакли от градовете: Пловдив, Русе, Търговище, София, Сливен и </w:t>
      </w:r>
      <w:r>
        <w:rPr>
          <w:sz w:val="28"/>
          <w:szCs w:val="28"/>
          <w:lang w:val="bg-BG"/>
        </w:rPr>
        <w:lastRenderedPageBreak/>
        <w:t>др. Това е една инициатива, която доби изключителна популярност и интерес сред най-младата великотърновска публика – децата и тяхното приобщаване към чудния свят на куклите.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Възможностт</w:t>
      </w:r>
      <w:r w:rsidR="00C27D3C">
        <w:rPr>
          <w:sz w:val="28"/>
          <w:szCs w:val="28"/>
          <w:lang w:val="bg-BG"/>
        </w:rPr>
        <w:t>а, която предоставяме с тази  „О</w:t>
      </w:r>
      <w:r>
        <w:rPr>
          <w:sz w:val="28"/>
          <w:szCs w:val="28"/>
          <w:lang w:val="bg-BG"/>
        </w:rPr>
        <w:t>ткрита сцена” дава поле за изява на участници от различни поколения и за срещи с великотърновската публика, като обогатява културния живот на града ни. Това взаимодействие е изключително полезно и е верният път към стимулиране на иновативността в сектора и културното предприемачество, както и за участие в културния живот на града на жители и посетители.</w:t>
      </w:r>
    </w:p>
    <w:p w:rsidR="00A70C73" w:rsidRDefault="00A70C73" w:rsidP="00A70C73">
      <w:pPr>
        <w:ind w:firstLine="708"/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>Културната общественост на Велико Търново и Общината свързват името на читалището с Професионален фолклорен ансамбъл „Искра”, Вокално студио „Таланти”, Група „</w:t>
      </w:r>
      <w:proofErr w:type="spellStart"/>
      <w:r w:rsidRPr="0085564B">
        <w:rPr>
          <w:sz w:val="28"/>
          <w:szCs w:val="28"/>
          <w:lang w:val="bg-BG"/>
        </w:rPr>
        <w:t>Докторс</w:t>
      </w:r>
      <w:proofErr w:type="spellEnd"/>
      <w:r>
        <w:rPr>
          <w:sz w:val="28"/>
          <w:szCs w:val="28"/>
          <w:lang w:val="bg-BG"/>
        </w:rPr>
        <w:t>”, Група „Учителите”, Клуб за народни танци „“Искра“ Детска школа за народни танци „Искра“.</w:t>
      </w:r>
    </w:p>
    <w:p w:rsidR="00A70C73" w:rsidRDefault="00A70C73" w:rsidP="00A70C73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своята богата творческа биография като професионален състав Ансамбъл „Искра” е емблемата на читалището. Съставът е носител на „Златна лира” на СБМТД – София, „Златна кобилица” на ЦИОФФ – България, Златен сертификат на </w:t>
      </w:r>
      <w:proofErr w:type="spellStart"/>
      <w:r>
        <w:rPr>
          <w:sz w:val="28"/>
          <w:szCs w:val="28"/>
          <w:lang w:val="bg-BG"/>
        </w:rPr>
        <w:t>Евроакадемия</w:t>
      </w:r>
      <w:proofErr w:type="spellEnd"/>
      <w:r>
        <w:rPr>
          <w:sz w:val="28"/>
          <w:szCs w:val="28"/>
          <w:lang w:val="bg-BG"/>
        </w:rPr>
        <w:t xml:space="preserve"> на ЮНЕСКО, „Златен медал” на СНЧ – София. Съставът през 2023 г. реализира 44 самостоятелни концерта и участия във В. Търново, Общината и страната, 8 концерта в парк „</w:t>
      </w:r>
      <w:proofErr w:type="spellStart"/>
      <w:r>
        <w:rPr>
          <w:sz w:val="28"/>
          <w:szCs w:val="28"/>
          <w:lang w:val="bg-BG"/>
        </w:rPr>
        <w:t>Марно</w:t>
      </w:r>
      <w:proofErr w:type="spellEnd"/>
      <w:r>
        <w:rPr>
          <w:sz w:val="28"/>
          <w:szCs w:val="28"/>
          <w:lang w:val="bg-BG"/>
        </w:rPr>
        <w:t xml:space="preserve"> поле”, парк „Дружба”, външното пространство пред „</w:t>
      </w:r>
      <w:proofErr w:type="spellStart"/>
      <w:r>
        <w:rPr>
          <w:sz w:val="28"/>
          <w:szCs w:val="28"/>
          <w:lang w:val="bg-BG"/>
        </w:rPr>
        <w:t>Синеленд</w:t>
      </w:r>
      <w:proofErr w:type="spellEnd"/>
      <w:r>
        <w:rPr>
          <w:sz w:val="28"/>
          <w:szCs w:val="28"/>
          <w:lang w:val="bg-BG"/>
        </w:rPr>
        <w:t xml:space="preserve"> – Искра”, 14 предизборни концерта в гр. Раднево, село Михалци, с. Присово, с. Стамболово, Ресен, Балван, Леденик, 5 участия в МФФ </w:t>
      </w:r>
      <w:r w:rsidR="00E964D4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Велико Търново</w:t>
      </w:r>
      <w:r w:rsidR="00E964D4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– Летния театър</w:t>
      </w:r>
      <w:r w:rsidR="00E964D4">
        <w:rPr>
          <w:sz w:val="28"/>
          <w:szCs w:val="28"/>
          <w:lang w:val="bg-BG"/>
        </w:rPr>
        <w:t>, 4 Великденски концерта във Велико Търново и селата от Общината, 13 Коледни и Новогодишни концерти</w:t>
      </w:r>
      <w:r>
        <w:rPr>
          <w:sz w:val="28"/>
          <w:szCs w:val="28"/>
          <w:lang w:val="bg-BG"/>
        </w:rPr>
        <w:t>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</w:r>
      <w:r w:rsidRPr="004A0A0D">
        <w:rPr>
          <w:sz w:val="28"/>
          <w:szCs w:val="28"/>
          <w:lang w:val="bg-BG"/>
        </w:rPr>
        <w:t>Вокално студио „Таланти”</w:t>
      </w:r>
      <w:r w:rsidRPr="0085564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формация, в която вече 15 години деца и младежи се занимават с поп и джаз пеене и утвърждават своя принос в културния живот на Велико Търново. Творческите успехи на малките и големи певци  в Национални и Международни конкурси през 2023 г. са радващи и впечатляващи. Те спечелиха 13 златни, 12 сребърни и 6 бронзови медала от Национални конкурси в София, Свищов, Варна, Несебър, Полски Тръмбеш, Карлово, Ямбол. Пред великотърновската публика изнесоха 8 самостоятелни концерти, 4 благотворителни и 8 участия в празнични концерти.</w:t>
      </w:r>
    </w:p>
    <w:p w:rsidR="00897E9E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 жанровото разнообразие на любителс</w:t>
      </w:r>
      <w:r w:rsidR="00897E9E">
        <w:rPr>
          <w:sz w:val="28"/>
          <w:szCs w:val="28"/>
          <w:lang w:val="bg-BG"/>
        </w:rPr>
        <w:t>ките колективи свое място заема Женски хор „</w:t>
      </w:r>
      <w:proofErr w:type="spellStart"/>
      <w:r w:rsidR="00897E9E">
        <w:rPr>
          <w:sz w:val="28"/>
          <w:szCs w:val="28"/>
          <w:lang w:val="bg-BG"/>
        </w:rPr>
        <w:t>Търновград</w:t>
      </w:r>
      <w:proofErr w:type="spellEnd"/>
      <w:r w:rsidR="00897E9E">
        <w:rPr>
          <w:sz w:val="28"/>
          <w:szCs w:val="28"/>
          <w:lang w:val="bg-BG"/>
        </w:rPr>
        <w:t xml:space="preserve">“. Съставът изнесе 4 самостоятелни концерта във Велико Търново, участва в Международния хоров фестивал в </w:t>
      </w:r>
      <w:proofErr w:type="spellStart"/>
      <w:r w:rsidR="00897E9E">
        <w:rPr>
          <w:sz w:val="28"/>
          <w:szCs w:val="28"/>
          <w:lang w:val="bg-BG"/>
        </w:rPr>
        <w:t>тр</w:t>
      </w:r>
      <w:proofErr w:type="spellEnd"/>
      <w:r w:rsidR="00897E9E">
        <w:rPr>
          <w:sz w:val="28"/>
          <w:szCs w:val="28"/>
          <w:lang w:val="bg-BG"/>
        </w:rPr>
        <w:t xml:space="preserve">. </w:t>
      </w:r>
      <w:proofErr w:type="spellStart"/>
      <w:r w:rsidR="00897E9E">
        <w:rPr>
          <w:sz w:val="28"/>
          <w:szCs w:val="28"/>
          <w:lang w:val="bg-BG"/>
        </w:rPr>
        <w:t>Айвалък</w:t>
      </w:r>
      <w:proofErr w:type="spellEnd"/>
      <w:r w:rsidR="00897E9E">
        <w:rPr>
          <w:sz w:val="28"/>
          <w:szCs w:val="28"/>
          <w:lang w:val="bg-BG"/>
        </w:rPr>
        <w:t>, Турция.</w:t>
      </w:r>
    </w:p>
    <w:p w:rsidR="00A70C73" w:rsidRDefault="00897E9E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През 2023</w:t>
      </w:r>
      <w:r w:rsidR="00A70C73">
        <w:rPr>
          <w:sz w:val="28"/>
          <w:szCs w:val="28"/>
          <w:lang w:val="bg-BG"/>
        </w:rPr>
        <w:t xml:space="preserve"> г. групите „</w:t>
      </w:r>
      <w:proofErr w:type="spellStart"/>
      <w:r w:rsidR="00A70C73">
        <w:rPr>
          <w:sz w:val="28"/>
          <w:szCs w:val="28"/>
          <w:lang w:val="bg-BG"/>
        </w:rPr>
        <w:t>Докторс</w:t>
      </w:r>
      <w:proofErr w:type="spellEnd"/>
      <w:r w:rsidR="00A70C73">
        <w:rPr>
          <w:sz w:val="28"/>
          <w:szCs w:val="28"/>
          <w:lang w:val="bg-BG"/>
        </w:rPr>
        <w:t xml:space="preserve">” и „Учителите” изнесоха благотворителни концерти и участваха във рок-фестивали в Стара Загора, </w:t>
      </w:r>
      <w:r>
        <w:rPr>
          <w:sz w:val="28"/>
          <w:szCs w:val="28"/>
          <w:lang w:val="bg-BG"/>
        </w:rPr>
        <w:t xml:space="preserve">Русе, </w:t>
      </w:r>
      <w:r w:rsidR="00A70C73">
        <w:rPr>
          <w:sz w:val="28"/>
          <w:szCs w:val="28"/>
          <w:lang w:val="bg-BG"/>
        </w:rPr>
        <w:t xml:space="preserve">Миндя рок </w:t>
      </w:r>
      <w:proofErr w:type="spellStart"/>
      <w:r w:rsidR="00A70C73">
        <w:rPr>
          <w:sz w:val="28"/>
          <w:szCs w:val="28"/>
          <w:lang w:val="bg-BG"/>
        </w:rPr>
        <w:t>фест</w:t>
      </w:r>
      <w:proofErr w:type="spellEnd"/>
      <w:r w:rsidR="00A70C73">
        <w:rPr>
          <w:sz w:val="28"/>
          <w:szCs w:val="28"/>
          <w:lang w:val="bg-BG"/>
        </w:rPr>
        <w:t xml:space="preserve"> и клубни участия по различни поводи.</w:t>
      </w:r>
    </w:p>
    <w:p w:rsidR="00C27D3C" w:rsidRPr="00952BA9" w:rsidRDefault="00C27D3C" w:rsidP="00A70C73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C27D3C" w:rsidRPr="0085564B" w:rsidRDefault="00C27D3C" w:rsidP="00A70C73">
      <w:pPr>
        <w:jc w:val="both"/>
        <w:rPr>
          <w:sz w:val="28"/>
          <w:szCs w:val="28"/>
          <w:lang w:val="bg-BG"/>
        </w:rPr>
      </w:pPr>
    </w:p>
    <w:p w:rsidR="00A70C73" w:rsidRPr="0085564B" w:rsidRDefault="00A70C73" w:rsidP="00A70C73">
      <w:pPr>
        <w:jc w:val="both"/>
        <w:rPr>
          <w:b/>
          <w:sz w:val="28"/>
          <w:szCs w:val="28"/>
          <w:lang w:val="bg-BG"/>
        </w:rPr>
      </w:pPr>
      <w:r w:rsidRPr="0085564B">
        <w:rPr>
          <w:b/>
          <w:sz w:val="28"/>
          <w:szCs w:val="28"/>
          <w:lang w:val="bg-BG"/>
        </w:rPr>
        <w:lastRenderedPageBreak/>
        <w:t>ІІ. БИБЛИОТЕЧНО – ИНФОРМАЦИОННА ДЕЙНОСТ</w:t>
      </w:r>
    </w:p>
    <w:p w:rsidR="00A70C73" w:rsidRDefault="00A70C73" w:rsidP="00A70C73">
      <w:pPr>
        <w:jc w:val="both"/>
        <w:rPr>
          <w:b/>
          <w:sz w:val="28"/>
          <w:szCs w:val="28"/>
          <w:lang w:val="bg-BG"/>
        </w:rPr>
      </w:pP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Pr="00FF5C56">
        <w:rPr>
          <w:sz w:val="28"/>
          <w:szCs w:val="28"/>
          <w:lang w:val="bg-BG"/>
        </w:rPr>
        <w:t xml:space="preserve">Една от традиционните дейности </w:t>
      </w:r>
      <w:r>
        <w:rPr>
          <w:sz w:val="28"/>
          <w:szCs w:val="28"/>
          <w:lang w:val="bg-BG"/>
        </w:rPr>
        <w:t>на читалището се олицетворява и осъществява от библиотеката.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Тя осигурява: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места за информация и комуникация за всеки, без разлика във възраст, етнос и религия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подобряване на библиотечното обслужване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обновяване на библиотечния фонд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разширяване на взаимодействието с учебни заведения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актуализиране на електронния каталог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образователни занимания с деца в библиотеката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представяне на детски автори, участие в „Маратон на четенето”.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 библиотеката се осигурява свободен достъп до богатия книжен фонд, привличат се нови читатели сред младите хора за създаване на трайни навици за четене и получаване на знания и умения.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>Библ</w:t>
      </w:r>
      <w:r w:rsidR="00897E9E">
        <w:rPr>
          <w:sz w:val="28"/>
          <w:szCs w:val="28"/>
          <w:lang w:val="bg-BG"/>
        </w:rPr>
        <w:t>иотека „Искра” разполага с 48530</w:t>
      </w:r>
      <w:r w:rsidRPr="0085564B">
        <w:rPr>
          <w:sz w:val="28"/>
          <w:szCs w:val="28"/>
          <w:lang w:val="bg-BG"/>
        </w:rPr>
        <w:t xml:space="preserve"> т. библиотечен фонд в двата отдела „за възрастни” и „детски отдел” с обособени към тях читални. 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Ежемесечно през годината се експонираха тематични витрини в двата отдела във връзка с Национални празници, бележити годишнини, изложби на книги от бълг</w:t>
      </w:r>
      <w:r w:rsidR="00897E9E">
        <w:rPr>
          <w:sz w:val="28"/>
          <w:szCs w:val="28"/>
          <w:lang w:val="bg-BG"/>
        </w:rPr>
        <w:t>арски и чуждестранни автори – 63</w:t>
      </w:r>
      <w:r>
        <w:rPr>
          <w:sz w:val="28"/>
          <w:szCs w:val="28"/>
          <w:lang w:val="bg-BG"/>
        </w:rPr>
        <w:t xml:space="preserve"> витр</w:t>
      </w:r>
      <w:r w:rsidR="00897E9E">
        <w:rPr>
          <w:sz w:val="28"/>
          <w:szCs w:val="28"/>
          <w:lang w:val="bg-BG"/>
        </w:rPr>
        <w:t>ини,, творчески срещи с писателката Първолета Петрова</w:t>
      </w:r>
      <w:r w:rsidR="00E964D4">
        <w:rPr>
          <w:sz w:val="28"/>
          <w:szCs w:val="28"/>
          <w:lang w:val="bg-BG"/>
        </w:rPr>
        <w:t>, беседи с Тодорка Н</w:t>
      </w:r>
      <w:r>
        <w:rPr>
          <w:sz w:val="28"/>
          <w:szCs w:val="28"/>
          <w:lang w:val="bg-BG"/>
        </w:rPr>
        <w:t>едева от РИМ с деца от ОУ „Св. П. Евтимий”, ОУ „П. Р. Славейков”, ОУ „Д. Благоев”, ДГ „Слънце”, ДГ „Здравец”. Любима форма на децата бяха творческите работилници в „Детския отдел” на</w:t>
      </w:r>
      <w:r w:rsidR="00897E9E">
        <w:rPr>
          <w:sz w:val="28"/>
          <w:szCs w:val="28"/>
          <w:lang w:val="bg-BG"/>
        </w:rPr>
        <w:t xml:space="preserve"> библиотеката за изработване </w:t>
      </w:r>
      <w:r>
        <w:rPr>
          <w:sz w:val="28"/>
          <w:szCs w:val="28"/>
          <w:lang w:val="bg-BG"/>
        </w:rPr>
        <w:t>на кукерски маски, коледни картички, мартеници, великденски украси и много други</w:t>
      </w:r>
      <w:r w:rsidR="00897E9E">
        <w:rPr>
          <w:sz w:val="28"/>
          <w:szCs w:val="28"/>
          <w:lang w:val="bg-BG"/>
        </w:rPr>
        <w:t xml:space="preserve"> и бяха експонирани 4 изложби от техни произведения с ученици от ОУ „Д. Благоев, ОУ „Св. П. Евтимий“, бяха проведени 11 беседи за празници и чествания от обредния ни календар</w:t>
      </w:r>
      <w:r>
        <w:rPr>
          <w:sz w:val="28"/>
          <w:szCs w:val="28"/>
          <w:lang w:val="bg-BG"/>
        </w:rPr>
        <w:t>.</w:t>
      </w:r>
      <w:r w:rsidR="007E1D5A">
        <w:rPr>
          <w:sz w:val="28"/>
          <w:szCs w:val="28"/>
          <w:lang w:val="bg-BG"/>
        </w:rPr>
        <w:t xml:space="preserve"> С клуб „Четящи деца“ бяха проведени 49 срещи за четене на приказки и сътворяване на стихове и разкази по различни теми.</w:t>
      </w:r>
    </w:p>
    <w:p w:rsidR="007E1D5A" w:rsidRDefault="007E1D5A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През 2023 г. Библиотека „Искра“ спечели проект на Министерството на културата – „Българските библиотеки – съвременни центрове за четене и информираност“ на стойност  3000 лв. и фондът беше обогатен със 110 нови книги. Към фонда на библиотеката бяха дарени 48 бр. книги от читатели. Направен е абонамент на 5 вестници и списания.</w:t>
      </w:r>
    </w:p>
    <w:p w:rsidR="00A70C73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Конкуренцията на информационните технологии, интернет-пространството, социалните мрежи е голяма, но библиотеката си остава утвърден посредник, като подпомага формалното и неформално образование и обучение, ученето през целия живот, превръщането на библиотеката в център на местната общност за информация, знания, социално включване, както и преодоляването на социалната изолация на възрастните хора.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В библиотеката се разработват политики за насърчаване на четенето, осигуряване на достъп на читателя до книгата, съхраняване, опазване и популяризиране на книжното културно наследство.</w:t>
      </w:r>
    </w:p>
    <w:p w:rsidR="00A70C73" w:rsidRDefault="00A70C73" w:rsidP="00A70C73">
      <w:pPr>
        <w:jc w:val="both"/>
        <w:rPr>
          <w:b/>
          <w:sz w:val="28"/>
          <w:szCs w:val="28"/>
          <w:lang w:val="bg-BG"/>
        </w:rPr>
      </w:pPr>
    </w:p>
    <w:p w:rsidR="00A70C73" w:rsidRPr="0085564B" w:rsidRDefault="00A70C73" w:rsidP="00A70C73">
      <w:pPr>
        <w:jc w:val="both"/>
        <w:rPr>
          <w:b/>
          <w:sz w:val="28"/>
          <w:szCs w:val="28"/>
          <w:lang w:val="bg-BG"/>
        </w:rPr>
      </w:pPr>
      <w:r w:rsidRPr="0085564B">
        <w:rPr>
          <w:b/>
          <w:sz w:val="28"/>
          <w:szCs w:val="28"/>
          <w:lang w:val="bg-BG"/>
        </w:rPr>
        <w:t>ІІІ. ЧОВЕШКИ И ФИНАНСОВИ РЕСУРСИ. МЕНИДЖМЪНТ</w:t>
      </w:r>
    </w:p>
    <w:p w:rsidR="00A70C73" w:rsidRPr="0085564B" w:rsidRDefault="00A70C73" w:rsidP="00A70C73">
      <w:pPr>
        <w:jc w:val="both"/>
        <w:rPr>
          <w:b/>
          <w:sz w:val="28"/>
          <w:szCs w:val="28"/>
          <w:lang w:val="bg-BG"/>
        </w:rPr>
      </w:pP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 xml:space="preserve">В процеса на реализацията на библиотечната, професионалната любителската художествено-творческа и концертна дейност най-значима е ролята и мястото на кадровия състав. В Читалище „Искра” работят 43 служители. Това са квалифицирани специалисти – диригенти, хореографи, инструменталисти, танцьори, певици, библиотекари с опит, творчески заряд и амбиция за постигане на високи цели и ниво на всички културни изяви. Те създават културен продукт, търсен и обичан от хората. 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 xml:space="preserve">Съществен момент в успешното развитие на читалището е неговото финансиране. Действащият механизъм на разпределение на държавната субсидия, която обезпечава разходите само за ФРЗ и осигуровки на щатния персонал е спорен, тъй като той не стимулира дейността ни. Общината не предвижда в бюджета си и най-малкото подпомагане на културната ни дейност, както и за поддържане на </w:t>
      </w:r>
      <w:proofErr w:type="spellStart"/>
      <w:r w:rsidRPr="0085564B">
        <w:rPr>
          <w:sz w:val="28"/>
          <w:szCs w:val="28"/>
          <w:lang w:val="bg-BG"/>
        </w:rPr>
        <w:t>сградния</w:t>
      </w:r>
      <w:proofErr w:type="spellEnd"/>
      <w:r w:rsidRPr="0085564B">
        <w:rPr>
          <w:sz w:val="28"/>
          <w:szCs w:val="28"/>
          <w:lang w:val="bg-BG"/>
        </w:rPr>
        <w:t xml:space="preserve"> фонд. Затова Настоятелството винаги е обръщало особено внимание на политиката за увеличаване на собствените приходи. 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>От наемите на старата читалищна сграда, сег</w:t>
      </w:r>
      <w:r w:rsidR="007E1D5A">
        <w:rPr>
          <w:sz w:val="28"/>
          <w:szCs w:val="28"/>
          <w:lang w:val="bg-BG"/>
        </w:rPr>
        <w:t>а „</w:t>
      </w:r>
      <w:proofErr w:type="spellStart"/>
      <w:r w:rsidR="007E1D5A">
        <w:rPr>
          <w:sz w:val="28"/>
          <w:szCs w:val="28"/>
          <w:lang w:val="bg-BG"/>
        </w:rPr>
        <w:t>Синеленд</w:t>
      </w:r>
      <w:proofErr w:type="spellEnd"/>
      <w:r w:rsidR="007E1D5A">
        <w:rPr>
          <w:sz w:val="28"/>
          <w:szCs w:val="28"/>
          <w:lang w:val="bg-BG"/>
        </w:rPr>
        <w:t>- Искра”, Бистро „Амат</w:t>
      </w:r>
      <w:r w:rsidRPr="0085564B">
        <w:rPr>
          <w:sz w:val="28"/>
          <w:szCs w:val="28"/>
          <w:lang w:val="bg-BG"/>
        </w:rPr>
        <w:t>ьорите”, Павилиона за цветя успява</w:t>
      </w:r>
      <w:r w:rsidR="007E1D5A">
        <w:rPr>
          <w:sz w:val="28"/>
          <w:szCs w:val="28"/>
          <w:lang w:val="bg-BG"/>
        </w:rPr>
        <w:t xml:space="preserve">ме да осигурим </w:t>
      </w:r>
      <w:r w:rsidRPr="0085564B">
        <w:rPr>
          <w:sz w:val="28"/>
          <w:szCs w:val="28"/>
          <w:lang w:val="bg-BG"/>
        </w:rPr>
        <w:t xml:space="preserve">стабилност </w:t>
      </w:r>
      <w:r>
        <w:rPr>
          <w:sz w:val="28"/>
          <w:szCs w:val="28"/>
          <w:lang w:val="bg-BG"/>
        </w:rPr>
        <w:t>на институцията, за да развивам</w:t>
      </w:r>
      <w:r w:rsidRPr="0085564B">
        <w:rPr>
          <w:sz w:val="28"/>
          <w:szCs w:val="28"/>
          <w:lang w:val="bg-BG"/>
        </w:rPr>
        <w:t xml:space="preserve">е </w:t>
      </w:r>
      <w:r>
        <w:rPr>
          <w:sz w:val="28"/>
          <w:szCs w:val="28"/>
          <w:lang w:val="bg-BG"/>
        </w:rPr>
        <w:t>успешно цялостната си художествено-</w:t>
      </w:r>
      <w:r w:rsidRPr="0085564B">
        <w:rPr>
          <w:sz w:val="28"/>
          <w:szCs w:val="28"/>
          <w:lang w:val="bg-BG"/>
        </w:rPr>
        <w:t>творческа и културна дейност.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>В обсега на нашето внимание е стремежът да откроим тенденциите, да разсъждаваме за перспективата и социалната реализация на създавания в читалището културен продукт в конкурентната градска среда, в която развиваме своята културна дейност.</w:t>
      </w:r>
    </w:p>
    <w:p w:rsidR="00A70C73" w:rsidRPr="0085564B" w:rsidRDefault="00A70C73" w:rsidP="00A70C73">
      <w:pPr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  <w:t xml:space="preserve">Предоставянето на Камерния салон на читалището за концертни изяви на художествените колективи от други институции като Младежки дом, </w:t>
      </w:r>
      <w:proofErr w:type="spellStart"/>
      <w:r w:rsidRPr="0085564B">
        <w:rPr>
          <w:sz w:val="28"/>
          <w:szCs w:val="28"/>
          <w:lang w:val="bg-BG"/>
        </w:rPr>
        <w:t>Земляческо</w:t>
      </w:r>
      <w:proofErr w:type="spellEnd"/>
      <w:r w:rsidRPr="0085564B">
        <w:rPr>
          <w:sz w:val="28"/>
          <w:szCs w:val="28"/>
          <w:lang w:val="bg-BG"/>
        </w:rPr>
        <w:t xml:space="preserve"> сдружение „Еленски край”, ОУ „Св. Патриарх Евтимий”, ЕСПУ „Ем. Станев”, ОУ „Бачо Киро”,</w:t>
      </w:r>
      <w:r w:rsidR="007E1D5A">
        <w:rPr>
          <w:sz w:val="28"/>
          <w:szCs w:val="28"/>
          <w:lang w:val="bg-BG"/>
        </w:rPr>
        <w:t xml:space="preserve"> </w:t>
      </w:r>
      <w:r w:rsidR="00D72FA2">
        <w:rPr>
          <w:sz w:val="28"/>
          <w:szCs w:val="28"/>
          <w:lang w:val="bg-BG"/>
        </w:rPr>
        <w:t>детските градини</w:t>
      </w:r>
      <w:r w:rsidR="007E1D5A">
        <w:rPr>
          <w:sz w:val="28"/>
          <w:szCs w:val="28"/>
          <w:lang w:val="bg-BG"/>
        </w:rPr>
        <w:t xml:space="preserve"> </w:t>
      </w:r>
      <w:r w:rsidR="00D72FA2">
        <w:rPr>
          <w:sz w:val="28"/>
          <w:szCs w:val="28"/>
          <w:lang w:val="bg-BG"/>
        </w:rPr>
        <w:t xml:space="preserve">„Слънце“, </w:t>
      </w:r>
      <w:r w:rsidR="007E1D5A">
        <w:rPr>
          <w:sz w:val="28"/>
          <w:szCs w:val="28"/>
          <w:lang w:val="bg-BG"/>
        </w:rPr>
        <w:t>„Здравец“, „Мечо Пух“, „Щастливо детство“, Рада войвода“</w:t>
      </w:r>
      <w:r w:rsidRPr="0085564B">
        <w:rPr>
          <w:sz w:val="28"/>
          <w:szCs w:val="28"/>
          <w:lang w:val="bg-BG"/>
        </w:rPr>
        <w:t xml:space="preserve"> и др. дава добро поле за изява на участници от различни поколения, за срещи с великотърновската публика и обогатява културния живот в града ни. Това взаимодействие е изключително полезно и е верният път за културен обмен между институциите в сферата на културата.</w:t>
      </w:r>
    </w:p>
    <w:p w:rsidR="00A70C73" w:rsidRPr="0085564B" w:rsidRDefault="00A70C73" w:rsidP="00D72FA2">
      <w:pPr>
        <w:jc w:val="both"/>
        <w:rPr>
          <w:sz w:val="28"/>
          <w:szCs w:val="28"/>
          <w:lang w:val="bg-BG"/>
        </w:rPr>
      </w:pPr>
    </w:p>
    <w:p w:rsidR="00A70C73" w:rsidRPr="0085564B" w:rsidRDefault="00A70C73" w:rsidP="00A70C73">
      <w:pPr>
        <w:ind w:firstLine="720"/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Председател:..............</w:t>
      </w:r>
      <w:r w:rsidRPr="0085564B">
        <w:rPr>
          <w:sz w:val="28"/>
          <w:szCs w:val="28"/>
          <w:lang w:val="bg-BG"/>
        </w:rPr>
        <w:t>................</w:t>
      </w:r>
    </w:p>
    <w:p w:rsidR="00857E8E" w:rsidRPr="00C27D3C" w:rsidRDefault="00A70C73" w:rsidP="00C27D3C">
      <w:pPr>
        <w:ind w:firstLine="720"/>
        <w:jc w:val="both"/>
        <w:rPr>
          <w:sz w:val="28"/>
          <w:szCs w:val="28"/>
          <w:lang w:val="bg-BG"/>
        </w:rPr>
      </w:pP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</w:r>
      <w:r w:rsidRPr="0085564B">
        <w:rPr>
          <w:sz w:val="28"/>
          <w:szCs w:val="28"/>
          <w:lang w:val="bg-BG"/>
        </w:rPr>
        <w:tab/>
        <w:t>/ Т. Тодоров/</w:t>
      </w:r>
    </w:p>
    <w:sectPr w:rsidR="00857E8E" w:rsidRPr="00C27D3C" w:rsidSect="00D72FA2">
      <w:headerReference w:type="even" r:id="rId7"/>
      <w:headerReference w:type="default" r:id="rId8"/>
      <w:pgSz w:w="11906" w:h="16838"/>
      <w:pgMar w:top="89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3E" w:rsidRDefault="00D6713E">
      <w:r>
        <w:separator/>
      </w:r>
    </w:p>
  </w:endnote>
  <w:endnote w:type="continuationSeparator" w:id="0">
    <w:p w:rsidR="00D6713E" w:rsidRDefault="00D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3E" w:rsidRDefault="00D6713E">
      <w:r>
        <w:separator/>
      </w:r>
    </w:p>
  </w:footnote>
  <w:footnote w:type="continuationSeparator" w:id="0">
    <w:p w:rsidR="00D6713E" w:rsidRDefault="00D6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F9" w:rsidRDefault="00D72FA2" w:rsidP="006A50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0F9" w:rsidRDefault="00D6713E" w:rsidP="006A50F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F9" w:rsidRDefault="00D72FA2" w:rsidP="006A50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2BA9">
      <w:rPr>
        <w:rStyle w:val="a7"/>
        <w:noProof/>
      </w:rPr>
      <w:t>4</w:t>
    </w:r>
    <w:r>
      <w:rPr>
        <w:rStyle w:val="a7"/>
      </w:rPr>
      <w:fldChar w:fldCharType="end"/>
    </w:r>
  </w:p>
  <w:p w:rsidR="006A50F9" w:rsidRDefault="00D6713E" w:rsidP="006A50F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3"/>
    <w:rsid w:val="00263F0F"/>
    <w:rsid w:val="007E1D5A"/>
    <w:rsid w:val="007F39E3"/>
    <w:rsid w:val="00857E8E"/>
    <w:rsid w:val="00897E9E"/>
    <w:rsid w:val="00952BA9"/>
    <w:rsid w:val="00A70C73"/>
    <w:rsid w:val="00C27D3C"/>
    <w:rsid w:val="00D6713E"/>
    <w:rsid w:val="00D72FA2"/>
    <w:rsid w:val="00E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C73"/>
    <w:pPr>
      <w:jc w:val="center"/>
    </w:pPr>
    <w:rPr>
      <w:b/>
      <w:bCs/>
      <w:u w:val="single"/>
      <w:lang w:val="bg-BG"/>
    </w:rPr>
  </w:style>
  <w:style w:type="character" w:customStyle="1" w:styleId="a4">
    <w:name w:val="Заглавие Знак"/>
    <w:basedOn w:val="a0"/>
    <w:link w:val="a3"/>
    <w:rsid w:val="00A70C7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header"/>
    <w:basedOn w:val="a"/>
    <w:link w:val="a6"/>
    <w:rsid w:val="00A70C7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A70C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basedOn w:val="a0"/>
    <w:rsid w:val="00A70C73"/>
  </w:style>
  <w:style w:type="paragraph" w:styleId="a8">
    <w:name w:val="Balloon Text"/>
    <w:basedOn w:val="a"/>
    <w:link w:val="a9"/>
    <w:uiPriority w:val="99"/>
    <w:semiHidden/>
    <w:unhideWhenUsed/>
    <w:rsid w:val="00C27D3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27D3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C73"/>
    <w:pPr>
      <w:jc w:val="center"/>
    </w:pPr>
    <w:rPr>
      <w:b/>
      <w:bCs/>
      <w:u w:val="single"/>
      <w:lang w:val="bg-BG"/>
    </w:rPr>
  </w:style>
  <w:style w:type="character" w:customStyle="1" w:styleId="a4">
    <w:name w:val="Заглавие Знак"/>
    <w:basedOn w:val="a0"/>
    <w:link w:val="a3"/>
    <w:rsid w:val="00A70C7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header"/>
    <w:basedOn w:val="a"/>
    <w:link w:val="a6"/>
    <w:rsid w:val="00A70C7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A70C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basedOn w:val="a0"/>
    <w:rsid w:val="00A70C73"/>
  </w:style>
  <w:style w:type="paragraph" w:styleId="a8">
    <w:name w:val="Balloon Text"/>
    <w:basedOn w:val="a"/>
    <w:link w:val="a9"/>
    <w:uiPriority w:val="99"/>
    <w:semiHidden/>
    <w:unhideWhenUsed/>
    <w:rsid w:val="00C27D3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27D3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2024-03-05T10:44:00Z</cp:lastPrinted>
  <dcterms:created xsi:type="dcterms:W3CDTF">2024-03-05T10:05:00Z</dcterms:created>
  <dcterms:modified xsi:type="dcterms:W3CDTF">2024-03-05T12:13:00Z</dcterms:modified>
</cp:coreProperties>
</file>